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C9A" w:rsidRPr="00CB6C9A" w:rsidRDefault="005474F4" w:rsidP="0066619E">
      <w:pPr>
        <w:rPr>
          <w:rFonts w:ascii="Arial" w:hAnsi="Arial" w:cs="Arial"/>
          <w:b/>
          <w:sz w:val="28"/>
          <w:szCs w:val="28"/>
          <w:lang w:val="en-GB"/>
        </w:rPr>
      </w:pPr>
      <w:r w:rsidRPr="00CB6C9A">
        <w:rPr>
          <w:rFonts w:ascii="Arial" w:hAnsi="Arial" w:cs="Arial"/>
          <w:b/>
          <w:sz w:val="28"/>
          <w:szCs w:val="28"/>
          <w:lang w:val="fr-FR"/>
        </w:rPr>
        <w:t>Preludium o</w:t>
      </w:r>
      <w:r w:rsidR="00CB6C9A" w:rsidRPr="00CB6C9A">
        <w:rPr>
          <w:rFonts w:ascii="Arial" w:hAnsi="Arial" w:cs="Arial"/>
          <w:b/>
          <w:sz w:val="28"/>
          <w:szCs w:val="28"/>
          <w:lang w:val="fr-FR"/>
        </w:rPr>
        <w:t xml:space="preserve">ver Veni Sancte Spiritus (1957) - </w:t>
      </w:r>
      <w:r w:rsidRPr="00CB6C9A">
        <w:rPr>
          <w:rFonts w:ascii="Arial" w:hAnsi="Arial" w:cs="Arial"/>
          <w:b/>
          <w:sz w:val="28"/>
          <w:szCs w:val="28"/>
          <w:lang w:val="fr-FR"/>
        </w:rPr>
        <w:t>Maurice Pirenne</w:t>
      </w:r>
      <w:r w:rsidRPr="00CB6C9A">
        <w:rPr>
          <w:rFonts w:ascii="Arial" w:hAnsi="Arial" w:cs="Arial"/>
          <w:b/>
          <w:sz w:val="28"/>
          <w:szCs w:val="28"/>
          <w:lang w:val="en-GB"/>
        </w:rPr>
        <w:t xml:space="preserve"> </w:t>
      </w:r>
    </w:p>
    <w:p w:rsidR="004E4854" w:rsidRPr="00CB6C9A" w:rsidRDefault="004E4854" w:rsidP="0066619E">
      <w:pPr>
        <w:rPr>
          <w:rFonts w:ascii="Arial" w:hAnsi="Arial" w:cs="Arial"/>
          <w:sz w:val="24"/>
          <w:szCs w:val="24"/>
          <w:lang w:val="en-GB"/>
        </w:rPr>
      </w:pPr>
    </w:p>
    <w:p w:rsidR="005474F4" w:rsidRPr="00CB6C9A" w:rsidRDefault="00CB6C9A" w:rsidP="005474F4">
      <w:pPr>
        <w:rPr>
          <w:rFonts w:ascii="Arial" w:hAnsi="Arial" w:cs="Arial"/>
          <w:sz w:val="24"/>
          <w:szCs w:val="24"/>
        </w:rPr>
      </w:pPr>
      <w:r w:rsidRPr="00CB6C9A">
        <w:rPr>
          <w:rFonts w:ascii="Arial" w:hAnsi="Arial" w:cs="Arial"/>
          <w:sz w:val="24"/>
          <w:szCs w:val="24"/>
        </w:rPr>
        <w:t xml:space="preserve">Met </w:t>
      </w:r>
      <w:r w:rsidR="005474F4" w:rsidRPr="00CB6C9A">
        <w:rPr>
          <w:rFonts w:ascii="Arial" w:hAnsi="Arial" w:cs="Arial"/>
          <w:sz w:val="24"/>
          <w:szCs w:val="24"/>
        </w:rPr>
        <w:t>Pinksteren moet in de kathedraal uiteraard het preludium over de sequens Veni Sancte Spiritu (kom Heilige Geest) voor Pinksteren van Pirenne klinken. Hij schreef het preludium in zijn Rometijd. Het preludium bestaat uit 4 gedeelten:</w:t>
      </w:r>
    </w:p>
    <w:p w:rsidR="005474F4" w:rsidRPr="00CB6C9A" w:rsidRDefault="005474F4" w:rsidP="005474F4">
      <w:pPr>
        <w:rPr>
          <w:rFonts w:ascii="Arial" w:hAnsi="Arial" w:cs="Arial"/>
          <w:sz w:val="24"/>
          <w:szCs w:val="24"/>
        </w:rPr>
      </w:pPr>
      <w:r w:rsidRPr="00CB6C9A">
        <w:rPr>
          <w:rFonts w:ascii="Arial" w:hAnsi="Arial" w:cs="Arial"/>
          <w:sz w:val="24"/>
          <w:szCs w:val="24"/>
        </w:rPr>
        <w:t>1. Opening met de noten van het gregoriaanse Veni Sancte Spiritus in een door Pirenne eigen ritmische volgorde gezet, waardoor een speels motief ontstaat dat regelmatig terugkeert:</w:t>
      </w:r>
    </w:p>
    <w:tbl>
      <w:tblPr>
        <w:tblStyle w:val="Tabelraster"/>
        <w:tblW w:w="0" w:type="auto"/>
        <w:jc w:val="center"/>
        <w:tblLook w:val="01E0" w:firstRow="1" w:lastRow="1" w:firstColumn="1" w:lastColumn="1" w:noHBand="0" w:noVBand="0"/>
      </w:tblPr>
      <w:tblGrid>
        <w:gridCol w:w="4404"/>
        <w:gridCol w:w="4884"/>
      </w:tblGrid>
      <w:tr w:rsidR="005474F4" w:rsidRPr="00CB6C9A">
        <w:trPr>
          <w:jc w:val="center"/>
        </w:trPr>
        <w:tc>
          <w:tcPr>
            <w:tcW w:w="4889" w:type="dxa"/>
          </w:tcPr>
          <w:p w:rsidR="005474F4" w:rsidRPr="00CB6C9A" w:rsidRDefault="00263345" w:rsidP="005474F4">
            <w:pPr>
              <w:rPr>
                <w:rFonts w:ascii="Arial" w:hAnsi="Arial" w:cs="Arial"/>
                <w:sz w:val="24"/>
                <w:szCs w:val="24"/>
              </w:rPr>
            </w:pPr>
            <w:r w:rsidRPr="00CB6C9A">
              <w:rPr>
                <w:rFonts w:ascii="Arial" w:hAnsi="Arial" w:cs="Arial"/>
                <w:noProof/>
                <w:lang w:eastAsia="nl-NL"/>
              </w:rPr>
              <w:drawing>
                <wp:inline distT="0" distB="0" distL="0" distR="0">
                  <wp:extent cx="1962150" cy="666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tc>
        <w:tc>
          <w:tcPr>
            <w:tcW w:w="4889" w:type="dxa"/>
          </w:tcPr>
          <w:p w:rsidR="005474F4" w:rsidRPr="00CB6C9A" w:rsidRDefault="00263345" w:rsidP="005474F4">
            <w:pPr>
              <w:rPr>
                <w:rFonts w:ascii="Arial" w:hAnsi="Arial" w:cs="Arial"/>
                <w:sz w:val="24"/>
                <w:szCs w:val="24"/>
              </w:rPr>
            </w:pPr>
            <w:r w:rsidRPr="00CB6C9A">
              <w:rPr>
                <w:rFonts w:ascii="Arial" w:hAnsi="Arial" w:cs="Arial"/>
                <w:noProof/>
                <w:lang w:eastAsia="nl-NL"/>
              </w:rPr>
              <w:drawing>
                <wp:inline distT="0" distB="0" distL="0" distR="0">
                  <wp:extent cx="2952750" cy="6572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p>
        </w:tc>
      </w:tr>
    </w:tbl>
    <w:p w:rsidR="005474F4" w:rsidRPr="00CB6C9A" w:rsidRDefault="005474F4" w:rsidP="005474F4">
      <w:pPr>
        <w:rPr>
          <w:rFonts w:ascii="Arial" w:hAnsi="Arial" w:cs="Arial"/>
          <w:sz w:val="24"/>
          <w:szCs w:val="24"/>
        </w:rPr>
      </w:pPr>
      <w:r w:rsidRPr="00CB6C9A">
        <w:rPr>
          <w:rFonts w:ascii="Arial" w:hAnsi="Arial" w:cs="Arial"/>
          <w:sz w:val="24"/>
          <w:szCs w:val="24"/>
        </w:rPr>
        <w:t>2. In het tweede gedeelte wordt gebruik gemaakt van 3 motieven: Het eerste is als volgt:</w:t>
      </w:r>
    </w:p>
    <w:p w:rsidR="005474F4" w:rsidRPr="00CB6C9A" w:rsidRDefault="00263345" w:rsidP="005474F4">
      <w:pPr>
        <w:jc w:val="center"/>
        <w:rPr>
          <w:rFonts w:ascii="Arial" w:hAnsi="Arial" w:cs="Arial"/>
          <w:sz w:val="24"/>
          <w:szCs w:val="24"/>
        </w:rPr>
      </w:pPr>
      <w:r w:rsidRPr="00CB6C9A">
        <w:rPr>
          <w:rFonts w:ascii="Arial" w:hAnsi="Arial" w:cs="Arial"/>
          <w:noProof/>
          <w:lang w:eastAsia="nl-NL"/>
        </w:rPr>
        <w:drawing>
          <wp:inline distT="0" distB="0" distL="0" distR="0">
            <wp:extent cx="3076575" cy="7334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733425"/>
                    </a:xfrm>
                    <a:prstGeom prst="rect">
                      <a:avLst/>
                    </a:prstGeom>
                    <a:noFill/>
                    <a:ln>
                      <a:noFill/>
                    </a:ln>
                  </pic:spPr>
                </pic:pic>
              </a:graphicData>
            </a:graphic>
          </wp:inline>
        </w:drawing>
      </w:r>
    </w:p>
    <w:p w:rsidR="005474F4" w:rsidRPr="00CB6C9A" w:rsidRDefault="005474F4" w:rsidP="005474F4">
      <w:pPr>
        <w:rPr>
          <w:rFonts w:ascii="Arial" w:hAnsi="Arial" w:cs="Arial"/>
          <w:sz w:val="24"/>
          <w:szCs w:val="24"/>
        </w:rPr>
      </w:pPr>
      <w:r w:rsidRPr="00CB6C9A">
        <w:rPr>
          <w:rFonts w:ascii="Arial" w:hAnsi="Arial" w:cs="Arial"/>
          <w:sz w:val="24"/>
          <w:szCs w:val="24"/>
        </w:rPr>
        <w:t>het tweede is op “O, lux beatissima”, de vijfde strofe uit de sequens:</w:t>
      </w:r>
    </w:p>
    <w:tbl>
      <w:tblPr>
        <w:tblStyle w:val="Tabelraster"/>
        <w:tblW w:w="0" w:type="auto"/>
        <w:jc w:val="center"/>
        <w:tblLook w:val="01E0" w:firstRow="1" w:lastRow="1" w:firstColumn="1" w:lastColumn="1" w:noHBand="0" w:noVBand="0"/>
      </w:tblPr>
      <w:tblGrid>
        <w:gridCol w:w="4262"/>
        <w:gridCol w:w="5026"/>
      </w:tblGrid>
      <w:tr w:rsidR="005474F4" w:rsidRPr="00CB6C9A">
        <w:trPr>
          <w:jc w:val="center"/>
        </w:trPr>
        <w:tc>
          <w:tcPr>
            <w:tcW w:w="4889" w:type="dxa"/>
          </w:tcPr>
          <w:p w:rsidR="005474F4" w:rsidRPr="00CB6C9A" w:rsidRDefault="005474F4" w:rsidP="005474F4">
            <w:pPr>
              <w:rPr>
                <w:rFonts w:ascii="Arial" w:hAnsi="Arial" w:cs="Arial"/>
                <w:sz w:val="24"/>
                <w:szCs w:val="24"/>
              </w:rPr>
            </w:pPr>
            <w:r w:rsidRPr="00CB6C9A">
              <w:rPr>
                <w:rFonts w:ascii="Arial" w:hAnsi="Arial" w:cs="Arial"/>
              </w:rPr>
              <w:t xml:space="preserve">          </w:t>
            </w:r>
            <w:r w:rsidR="00263345" w:rsidRPr="00CB6C9A">
              <w:rPr>
                <w:rFonts w:ascii="Arial" w:hAnsi="Arial" w:cs="Arial"/>
                <w:noProof/>
                <w:lang w:eastAsia="nl-NL"/>
              </w:rPr>
              <w:drawing>
                <wp:inline distT="0" distB="0" distL="0" distR="0">
                  <wp:extent cx="1504950" cy="647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647700"/>
                          </a:xfrm>
                          <a:prstGeom prst="rect">
                            <a:avLst/>
                          </a:prstGeom>
                          <a:noFill/>
                          <a:ln>
                            <a:noFill/>
                          </a:ln>
                        </pic:spPr>
                      </pic:pic>
                    </a:graphicData>
                  </a:graphic>
                </wp:inline>
              </w:drawing>
            </w:r>
          </w:p>
        </w:tc>
        <w:tc>
          <w:tcPr>
            <w:tcW w:w="4889" w:type="dxa"/>
          </w:tcPr>
          <w:p w:rsidR="005474F4" w:rsidRPr="00CB6C9A" w:rsidRDefault="00263345" w:rsidP="005474F4">
            <w:pPr>
              <w:rPr>
                <w:rFonts w:ascii="Arial" w:hAnsi="Arial" w:cs="Arial"/>
                <w:sz w:val="24"/>
                <w:szCs w:val="24"/>
              </w:rPr>
            </w:pPr>
            <w:r w:rsidRPr="00CB6C9A">
              <w:rPr>
                <w:rFonts w:ascii="Arial" w:hAnsi="Arial" w:cs="Arial"/>
                <w:noProof/>
                <w:lang w:eastAsia="nl-NL"/>
              </w:rPr>
              <w:drawing>
                <wp:inline distT="0" distB="0" distL="0" distR="0">
                  <wp:extent cx="3057525" cy="7334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733425"/>
                          </a:xfrm>
                          <a:prstGeom prst="rect">
                            <a:avLst/>
                          </a:prstGeom>
                          <a:noFill/>
                          <a:ln>
                            <a:noFill/>
                          </a:ln>
                        </pic:spPr>
                      </pic:pic>
                    </a:graphicData>
                  </a:graphic>
                </wp:inline>
              </w:drawing>
            </w:r>
          </w:p>
        </w:tc>
      </w:tr>
    </w:tbl>
    <w:p w:rsidR="005474F4" w:rsidRPr="00CB6C9A" w:rsidRDefault="005474F4" w:rsidP="005474F4">
      <w:pPr>
        <w:rPr>
          <w:rFonts w:ascii="Arial" w:hAnsi="Arial" w:cs="Arial"/>
          <w:sz w:val="24"/>
          <w:szCs w:val="24"/>
        </w:rPr>
      </w:pPr>
      <w:r w:rsidRPr="00CB6C9A">
        <w:rPr>
          <w:rFonts w:ascii="Arial" w:hAnsi="Arial" w:cs="Arial"/>
          <w:sz w:val="24"/>
          <w:szCs w:val="24"/>
        </w:rPr>
        <w:t>het derde motief, gebaseerd op de communio van Pinksterdag “Factus est repente”, verschijnt er zo nu en dan speels doorheen:</w:t>
      </w:r>
    </w:p>
    <w:p w:rsidR="005474F4" w:rsidRPr="00CB6C9A" w:rsidRDefault="00263345" w:rsidP="005474F4">
      <w:pPr>
        <w:jc w:val="center"/>
        <w:rPr>
          <w:rFonts w:ascii="Arial" w:hAnsi="Arial" w:cs="Arial"/>
        </w:rPr>
      </w:pPr>
      <w:r w:rsidRPr="00CB6C9A">
        <w:rPr>
          <w:rFonts w:ascii="Arial" w:hAnsi="Arial" w:cs="Arial"/>
          <w:noProof/>
          <w:lang w:eastAsia="nl-NL"/>
        </w:rPr>
        <w:drawing>
          <wp:inline distT="0" distB="0" distL="0" distR="0">
            <wp:extent cx="3400425" cy="8001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rsidR="005474F4" w:rsidRPr="00CB6C9A" w:rsidRDefault="005474F4" w:rsidP="005474F4">
      <w:pPr>
        <w:rPr>
          <w:rFonts w:ascii="Arial" w:hAnsi="Arial" w:cs="Arial"/>
          <w:sz w:val="24"/>
          <w:szCs w:val="24"/>
        </w:rPr>
      </w:pPr>
      <w:r w:rsidRPr="00CB6C9A">
        <w:rPr>
          <w:rFonts w:ascii="Arial" w:hAnsi="Arial" w:cs="Arial"/>
          <w:sz w:val="24"/>
          <w:szCs w:val="24"/>
        </w:rPr>
        <w:t>3. In het derde gedeelte worden het motief “Veni Sancte Spiritus” en “O, lux beatissima” samengevoegd.</w:t>
      </w:r>
    </w:p>
    <w:p w:rsidR="005474F4" w:rsidRPr="00CB6C9A" w:rsidRDefault="005474F4" w:rsidP="005474F4">
      <w:pPr>
        <w:rPr>
          <w:rFonts w:ascii="Arial" w:hAnsi="Arial" w:cs="Arial"/>
          <w:sz w:val="24"/>
          <w:szCs w:val="24"/>
        </w:rPr>
      </w:pPr>
      <w:r w:rsidRPr="00CB6C9A">
        <w:rPr>
          <w:rFonts w:ascii="Arial" w:hAnsi="Arial" w:cs="Arial"/>
          <w:sz w:val="24"/>
          <w:szCs w:val="24"/>
        </w:rPr>
        <w:t>4. Imposant slot met gehele eerste strofe van Veni Sancte Spiritus in lange noten. Aan het eind klinkt nog eenmaal “O, lux beatissima.”</w:t>
      </w:r>
    </w:p>
    <w:p w:rsidR="005474F4" w:rsidRPr="00CB6C9A" w:rsidRDefault="005474F4" w:rsidP="005474F4">
      <w:pPr>
        <w:rPr>
          <w:rFonts w:ascii="Arial" w:hAnsi="Arial" w:cs="Arial"/>
          <w:b/>
          <w:noProof/>
          <w:sz w:val="24"/>
        </w:rPr>
      </w:pPr>
    </w:p>
    <w:p w:rsidR="005474F4" w:rsidRPr="00CB6C9A" w:rsidRDefault="00263345" w:rsidP="005474F4">
      <w:pPr>
        <w:rPr>
          <w:rFonts w:ascii="Arial" w:hAnsi="Arial" w:cs="Arial"/>
          <w:b/>
          <w:noProof/>
          <w:sz w:val="24"/>
        </w:rPr>
      </w:pPr>
      <w:r>
        <w:rPr>
          <w:noProof/>
          <w:lang w:eastAsia="nl-NL"/>
        </w:rPr>
        <w:drawing>
          <wp:anchor distT="0" distB="0" distL="114300" distR="114300" simplePos="0" relativeHeight="251659264" behindDoc="0" locked="0" layoutInCell="1" allowOverlap="1">
            <wp:simplePos x="0" y="0"/>
            <wp:positionH relativeFrom="column">
              <wp:posOffset>-4445</wp:posOffset>
            </wp:positionH>
            <wp:positionV relativeFrom="paragraph">
              <wp:posOffset>8255</wp:posOffset>
            </wp:positionV>
            <wp:extent cx="2362200" cy="2647950"/>
            <wp:effectExtent l="0" t="0" r="0" b="0"/>
            <wp:wrapSquare wrapText="bothSides"/>
            <wp:docPr id="7" name="Afbeelding 3" descr="C:\Users\Veronique Leenders\Pictures\f_maurice_pir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nique Leenders\Pictures\f_maurice_piren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D60" w:rsidRPr="00CB6C9A" w:rsidRDefault="00176D60">
      <w:pPr>
        <w:rPr>
          <w:rFonts w:ascii="Arial" w:hAnsi="Arial" w:cs="Arial"/>
          <w:sz w:val="24"/>
          <w:szCs w:val="24"/>
        </w:rPr>
      </w:pPr>
    </w:p>
    <w:p w:rsidR="00176D60" w:rsidRDefault="00176D60">
      <w:pPr>
        <w:rPr>
          <w:rFonts w:ascii="Arial" w:hAnsi="Arial" w:cs="Arial"/>
          <w:sz w:val="24"/>
          <w:szCs w:val="24"/>
        </w:rPr>
      </w:pPr>
    </w:p>
    <w:p w:rsidR="00263345" w:rsidRDefault="00263345">
      <w:pPr>
        <w:rPr>
          <w:rFonts w:ascii="Arial" w:hAnsi="Arial" w:cs="Arial"/>
          <w:sz w:val="24"/>
          <w:szCs w:val="24"/>
        </w:rPr>
      </w:pPr>
    </w:p>
    <w:p w:rsidR="00263345" w:rsidRDefault="00263345">
      <w:pPr>
        <w:rPr>
          <w:rFonts w:ascii="Arial" w:hAnsi="Arial" w:cs="Arial"/>
          <w:sz w:val="24"/>
          <w:szCs w:val="24"/>
        </w:rPr>
      </w:pPr>
    </w:p>
    <w:p w:rsidR="00263345" w:rsidRDefault="00263345">
      <w:pPr>
        <w:rPr>
          <w:rFonts w:ascii="Arial" w:hAnsi="Arial" w:cs="Arial"/>
          <w:sz w:val="24"/>
          <w:szCs w:val="24"/>
        </w:rPr>
      </w:pPr>
    </w:p>
    <w:p w:rsidR="00263345" w:rsidRPr="00CB6C9A" w:rsidRDefault="00263345">
      <w:pPr>
        <w:rPr>
          <w:rFonts w:ascii="Arial" w:hAnsi="Arial" w:cs="Arial"/>
          <w:sz w:val="24"/>
          <w:szCs w:val="24"/>
        </w:rPr>
      </w:pPr>
    </w:p>
    <w:p w:rsidR="00176D60" w:rsidRPr="00176D60" w:rsidRDefault="00176D60">
      <w:pPr>
        <w:rPr>
          <w:rFonts w:ascii="Arial" w:hAnsi="Arial" w:cs="Arial"/>
        </w:rPr>
      </w:pPr>
    </w:p>
    <w:p w:rsidR="00176D60" w:rsidRPr="009738D7" w:rsidRDefault="00176D60">
      <w:pPr>
        <w:rPr>
          <w:rFonts w:ascii="Arial" w:hAnsi="Arial" w:cs="Arial"/>
          <w:sz w:val="24"/>
          <w:szCs w:val="24"/>
        </w:rPr>
      </w:pPr>
    </w:p>
    <w:p w:rsidR="00176D60" w:rsidRPr="009738D7" w:rsidRDefault="00176D60">
      <w:pPr>
        <w:rPr>
          <w:rFonts w:ascii="Arial" w:hAnsi="Arial" w:cs="Arial"/>
          <w:sz w:val="24"/>
          <w:szCs w:val="24"/>
        </w:rPr>
      </w:pPr>
    </w:p>
    <w:p w:rsidR="00263345" w:rsidRDefault="00263345">
      <w:pPr>
        <w:rPr>
          <w:rFonts w:ascii="Arial" w:hAnsi="Arial" w:cs="Arial"/>
          <w:sz w:val="24"/>
          <w:szCs w:val="24"/>
        </w:rPr>
      </w:pPr>
      <w:r>
        <w:rPr>
          <w:rFonts w:ascii="Arial" w:hAnsi="Arial" w:cs="Arial"/>
          <w:b/>
          <w:sz w:val="24"/>
          <w:szCs w:val="24"/>
        </w:rPr>
        <w:t>Maurice Pirenne</w:t>
      </w:r>
      <w:r w:rsidR="00176D60" w:rsidRPr="00176D60">
        <w:rPr>
          <w:rFonts w:ascii="Arial" w:hAnsi="Arial" w:cs="Arial"/>
          <w:sz w:val="24"/>
          <w:szCs w:val="24"/>
        </w:rPr>
        <w:t xml:space="preserve"> was </w:t>
      </w:r>
      <w:r>
        <w:rPr>
          <w:rFonts w:ascii="Arial" w:hAnsi="Arial" w:cs="Arial"/>
          <w:sz w:val="24"/>
          <w:szCs w:val="24"/>
        </w:rPr>
        <w:t>rector cantus van de Schola Cantorum in de Sint-Janskathedraal van 1965-1991 en organist aldaar van 1991-2008.</w:t>
      </w:r>
    </w:p>
    <w:p w:rsidR="00263345" w:rsidRDefault="00AA241B">
      <w:pPr>
        <w:rPr>
          <w:rFonts w:ascii="Arial" w:hAnsi="Arial" w:cs="Arial"/>
          <w:sz w:val="24"/>
          <w:szCs w:val="24"/>
        </w:rPr>
      </w:pPr>
      <w:r>
        <w:rPr>
          <w:rFonts w:ascii="Arial" w:hAnsi="Arial" w:cs="Arial"/>
          <w:sz w:val="24"/>
          <w:szCs w:val="24"/>
        </w:rPr>
        <w:t>Meer informatie is te vinden op:</w:t>
      </w:r>
    </w:p>
    <w:p w:rsidR="00176D60" w:rsidRPr="00176D60" w:rsidRDefault="00263345">
      <w:pPr>
        <w:rPr>
          <w:rFonts w:ascii="Arial" w:hAnsi="Arial" w:cs="Arial"/>
          <w:sz w:val="24"/>
          <w:szCs w:val="24"/>
        </w:rPr>
      </w:pPr>
      <w:hyperlink r:id="rId11" w:history="1">
        <w:r w:rsidRPr="000E090B">
          <w:rPr>
            <w:rStyle w:val="Hyperlink"/>
            <w:rFonts w:ascii="Arial" w:hAnsi="Arial" w:cs="Arial"/>
            <w:sz w:val="24"/>
            <w:szCs w:val="24"/>
          </w:rPr>
          <w:t>www.stichtingmauricepirenne.nl</w:t>
        </w:r>
      </w:hyperlink>
      <w:bookmarkStart w:id="0" w:name="_GoBack"/>
      <w:bookmarkEnd w:id="0"/>
    </w:p>
    <w:sectPr w:rsidR="00176D60" w:rsidRPr="00176D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C3"/>
    <w:rsid w:val="00011E4C"/>
    <w:rsid w:val="000806DD"/>
    <w:rsid w:val="00161B1B"/>
    <w:rsid w:val="00176D60"/>
    <w:rsid w:val="00263345"/>
    <w:rsid w:val="004274A5"/>
    <w:rsid w:val="0044242B"/>
    <w:rsid w:val="004C20C3"/>
    <w:rsid w:val="004C61FC"/>
    <w:rsid w:val="004E4854"/>
    <w:rsid w:val="005474F4"/>
    <w:rsid w:val="00553ABA"/>
    <w:rsid w:val="005C3A6B"/>
    <w:rsid w:val="005E22BD"/>
    <w:rsid w:val="0066619E"/>
    <w:rsid w:val="006E4F92"/>
    <w:rsid w:val="009738D7"/>
    <w:rsid w:val="00A44D9F"/>
    <w:rsid w:val="00AA241B"/>
    <w:rsid w:val="00B041D2"/>
    <w:rsid w:val="00B71763"/>
    <w:rsid w:val="00B979F0"/>
    <w:rsid w:val="00CB6C9A"/>
    <w:rsid w:val="00EC735C"/>
    <w:rsid w:val="00FA79A8"/>
    <w:rsid w:val="00FB2AE1"/>
    <w:rsid w:val="00FE0B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2520EB2-A6A1-43E8-B7DF-DFE89EB3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619E"/>
    <w:rPr>
      <w:lang w:eastAsia="zh-CN"/>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basedOn w:val="Standaardalinea-lettertype"/>
    <w:rsid w:val="00AA241B"/>
    <w:rPr>
      <w:color w:val="0000FF"/>
      <w:u w:val="single"/>
    </w:rPr>
  </w:style>
  <w:style w:type="table" w:styleId="Tabelraster">
    <w:name w:val="Table Grid"/>
    <w:basedOn w:val="Standaardtabel"/>
    <w:rsid w:val="00547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2633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tichtingmauricepirenne.nl"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1074</Characters>
  <Application>Microsoft Office Word</Application>
  <DocSecurity>0</DocSecurity>
  <Lines>19</Lines>
  <Paragraphs>6</Paragraphs>
  <ScaleCrop>false</ScaleCrop>
  <HeadingPairs>
    <vt:vector size="2" baseType="variant">
      <vt:variant>
        <vt:lpstr>Titel</vt:lpstr>
      </vt:variant>
      <vt:variant>
        <vt:i4>1</vt:i4>
      </vt:variant>
    </vt:vector>
  </HeadingPairs>
  <TitlesOfParts>
    <vt:vector size="1" baseType="lpstr">
      <vt:lpstr>Na de Paaswake en op Paasmorgen klinkt in deze Sint-Jan traditioneel het Lumen Christi (het licht van Christus) van Langlais</vt:lpstr>
    </vt:vector>
  </TitlesOfParts>
  <Company/>
  <LinksUpToDate>false</LinksUpToDate>
  <CharactersWithSpaces>1284</CharactersWithSpaces>
  <SharedDoc>false</SharedDoc>
  <HLinks>
    <vt:vector size="6" baseType="variant">
      <vt:variant>
        <vt:i4>4784193</vt:i4>
      </vt:variant>
      <vt:variant>
        <vt:i4>3</vt:i4>
      </vt:variant>
      <vt:variant>
        <vt:i4>0</vt:i4>
      </vt:variant>
      <vt:variant>
        <vt:i4>5</vt:i4>
      </vt:variant>
      <vt:variant>
        <vt:lpwstr>http://www.jeanlanglais.com/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de Paaswake en op Paasmorgen klinkt in deze Sint-Jan traditioneel het Lumen Christi (het licht van Christus) van Langlais</dc:title>
  <dc:subject/>
  <dc:creator>Véronique Leenders</dc:creator>
  <cp:keywords/>
  <dc:description/>
  <cp:lastModifiedBy>veronique leenders</cp:lastModifiedBy>
  <cp:revision>2</cp:revision>
  <dcterms:created xsi:type="dcterms:W3CDTF">2015-04-25T15:57:00Z</dcterms:created>
  <dcterms:modified xsi:type="dcterms:W3CDTF">2015-04-25T15:57:00Z</dcterms:modified>
</cp:coreProperties>
</file>